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485" w:rsidRPr="001823EB" w:rsidRDefault="00A30485" w:rsidP="00A30485">
      <w:pPr>
        <w:pStyle w:val="3GPPHeader"/>
        <w:spacing w:after="0"/>
        <w:rPr>
          <w:sz w:val="32"/>
          <w:szCs w:val="32"/>
          <w:lang w:val="de-DE"/>
        </w:rPr>
      </w:pPr>
      <w:r w:rsidRPr="00DD698D">
        <w:rPr>
          <w:lang w:val="de-DE"/>
        </w:rPr>
        <w:t>3GPP TSG-RAN WG</w:t>
      </w:r>
      <w:r>
        <w:rPr>
          <w:lang w:val="de-DE"/>
        </w:rPr>
        <w:t>3</w:t>
      </w:r>
      <w:r w:rsidRPr="00DD698D">
        <w:rPr>
          <w:lang w:val="de-DE"/>
        </w:rPr>
        <w:t xml:space="preserve"> </w:t>
      </w:r>
      <w:r w:rsidR="003374D7">
        <w:rPr>
          <w:lang w:val="de-DE"/>
        </w:rPr>
        <w:t>NR Ad Hoc</w:t>
      </w:r>
      <w:r w:rsidRPr="00DD698D">
        <w:rPr>
          <w:lang w:val="de-DE"/>
        </w:rPr>
        <w:tab/>
      </w:r>
      <w:r w:rsidRPr="00DD698D">
        <w:rPr>
          <w:sz w:val="32"/>
          <w:szCs w:val="32"/>
          <w:lang w:val="de-DE"/>
        </w:rPr>
        <w:t xml:space="preserve">Tdoc </w:t>
      </w:r>
      <w:r w:rsidRPr="001823EB">
        <w:rPr>
          <w:sz w:val="32"/>
          <w:szCs w:val="32"/>
          <w:lang w:val="de-DE"/>
        </w:rPr>
        <w:t>R3-1</w:t>
      </w:r>
      <w:r w:rsidR="003374D7">
        <w:rPr>
          <w:sz w:val="32"/>
          <w:szCs w:val="32"/>
          <w:lang w:val="de-DE"/>
        </w:rPr>
        <w:t>7</w:t>
      </w:r>
      <w:r w:rsidR="007C6867">
        <w:rPr>
          <w:sz w:val="32"/>
          <w:szCs w:val="32"/>
          <w:lang w:val="de-DE"/>
        </w:rPr>
        <w:t>0233</w:t>
      </w:r>
      <w:bookmarkStart w:id="0" w:name="_GoBack"/>
      <w:bookmarkEnd w:id="0"/>
    </w:p>
    <w:p w:rsidR="001823EB" w:rsidRPr="00E918EB" w:rsidRDefault="003374D7" w:rsidP="00A30485">
      <w:pPr>
        <w:pStyle w:val="3GPPHeader"/>
        <w:rPr>
          <w:lang w:val="en-US"/>
        </w:rPr>
      </w:pPr>
      <w:r>
        <w:rPr>
          <w:lang w:val="en-US"/>
        </w:rPr>
        <w:t>Spokane, Washington, USA</w:t>
      </w:r>
      <w:r w:rsidR="00A30485" w:rsidRPr="001823EB">
        <w:rPr>
          <w:lang w:val="en-US"/>
        </w:rPr>
        <w:t xml:space="preserve">, </w:t>
      </w:r>
      <w:r>
        <w:rPr>
          <w:lang w:val="en-US"/>
        </w:rPr>
        <w:t>January</w:t>
      </w:r>
      <w:r w:rsidR="00A30485" w:rsidRPr="001823EB">
        <w:rPr>
          <w:lang w:val="en-US"/>
        </w:rPr>
        <w:t xml:space="preserve"> </w:t>
      </w:r>
      <w:r w:rsidR="00A30485">
        <w:rPr>
          <w:lang w:val="en-US"/>
        </w:rPr>
        <w:t>1</w:t>
      </w:r>
      <w:r w:rsidR="00705175">
        <w:rPr>
          <w:lang w:val="en-US"/>
        </w:rPr>
        <w:t>7</w:t>
      </w:r>
      <w:r w:rsidR="00A30485">
        <w:rPr>
          <w:vertAlign w:val="superscript"/>
          <w:lang w:val="en-US"/>
        </w:rPr>
        <w:t>th</w:t>
      </w:r>
      <w:r w:rsidR="00A30485" w:rsidRPr="001823EB">
        <w:rPr>
          <w:lang w:val="en-US"/>
        </w:rPr>
        <w:t xml:space="preserve"> – </w:t>
      </w:r>
      <w:r w:rsidR="00A30485">
        <w:rPr>
          <w:lang w:val="en-US"/>
        </w:rPr>
        <w:t>1</w:t>
      </w:r>
      <w:r w:rsidR="00705175">
        <w:rPr>
          <w:lang w:val="en-US"/>
        </w:rPr>
        <w:t>9</w:t>
      </w:r>
      <w:r w:rsidR="00A30485" w:rsidRPr="001823EB">
        <w:rPr>
          <w:vertAlign w:val="superscript"/>
          <w:lang w:val="en-US"/>
        </w:rPr>
        <w:t>th</w:t>
      </w:r>
      <w:r w:rsidR="00A30485" w:rsidRPr="001823EB">
        <w:rPr>
          <w:lang w:val="en-US"/>
        </w:rPr>
        <w:t>, 2016</w:t>
      </w:r>
      <w:r w:rsidR="001823EB" w:rsidRPr="001823EB">
        <w:rPr>
          <w:lang w:val="en-US"/>
        </w:rPr>
        <w:tab/>
      </w: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10.</w:t>
      </w:r>
      <w:r w:rsidR="007C6867">
        <w:rPr>
          <w:rFonts w:ascii="Times New Roman" w:hAnsi="Times New Roman"/>
          <w:b/>
          <w:bCs/>
          <w:sz w:val="24"/>
          <w:lang w:val="en-US"/>
        </w:rPr>
        <w:t>7</w:t>
      </w:r>
      <w:r w:rsidR="00FC4B22">
        <w:rPr>
          <w:rFonts w:ascii="Times New Roman" w:hAnsi="Times New Roman"/>
          <w:b/>
          <w:bCs/>
          <w:sz w:val="24"/>
          <w:lang w:val="en-US"/>
        </w:rPr>
        <w:t>.1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705175">
        <w:rPr>
          <w:b/>
          <w:bCs/>
          <w:sz w:val="24"/>
          <w:lang w:val="en-US"/>
        </w:rPr>
        <w:t>Standardizing RAN Split(s)</w:t>
      </w:r>
    </w:p>
    <w:p w:rsidR="00FA20F7" w:rsidRPr="00C47D53" w:rsidRDefault="00FA20F7" w:rsidP="00FA20F7">
      <w:pPr>
        <w:ind w:left="1985" w:hanging="1985"/>
        <w:rPr>
          <w:b/>
          <w:bCs/>
          <w:sz w:val="24"/>
          <w:lang w:val="en-US" w:eastAsia="ko-KR"/>
        </w:rPr>
      </w:pPr>
      <w:r w:rsidRPr="00C47D53">
        <w:rPr>
          <w:b/>
          <w:bCs/>
          <w:sz w:val="24"/>
          <w:lang w:val="en-US"/>
        </w:rPr>
        <w:t>Document for:</w:t>
      </w:r>
      <w:r w:rsidRPr="00C47D53">
        <w:rPr>
          <w:b/>
          <w:bCs/>
          <w:sz w:val="24"/>
          <w:lang w:val="en-US"/>
        </w:rPr>
        <w:tab/>
        <w:t>Discussion</w:t>
      </w:r>
      <w:r w:rsidR="00B91E5B">
        <w:rPr>
          <w:b/>
          <w:bCs/>
          <w:sz w:val="24"/>
          <w:lang w:val="en-US"/>
        </w:rPr>
        <w:t>, Decision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433704" w:rsidRDefault="00433704" w:rsidP="00E80C4E">
      <w:pPr>
        <w:rPr>
          <w:lang w:val="en-US"/>
        </w:rPr>
      </w:pPr>
      <w:r>
        <w:rPr>
          <w:lang w:val="en-US"/>
        </w:rPr>
        <w:t xml:space="preserve">Following discussions </w:t>
      </w:r>
      <w:r w:rsidR="0023173F">
        <w:rPr>
          <w:lang w:val="en-US"/>
        </w:rPr>
        <w:t>in past meetings</w:t>
      </w:r>
      <w:r>
        <w:rPr>
          <w:lang w:val="en-US"/>
        </w:rPr>
        <w:t>, a number of functional split options between a central unit (CU) and a distributed unit (DU) were captured as baselin</w:t>
      </w:r>
      <w:r w:rsidR="0023173F">
        <w:rPr>
          <w:lang w:val="en-US"/>
        </w:rPr>
        <w:t>e</w:t>
      </w:r>
      <w:r>
        <w:rPr>
          <w:lang w:val="en-US"/>
        </w:rPr>
        <w:t xml:space="preserve"> input to TR 38.801.</w:t>
      </w:r>
    </w:p>
    <w:p w:rsidR="0023173F" w:rsidRDefault="0023173F" w:rsidP="00E80C4E">
      <w:r>
        <w:object w:dxaOrig="14099" w:dyaOrig="4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5.5pt" o:ole="">
            <v:imagedata r:id="rId12" o:title=""/>
          </v:shape>
          <o:OLEObject Type="Embed" ProgID="Visio.Drawing.11" ShapeID="_x0000_i1025" DrawAspect="Content" ObjectID="_1545636907" r:id="rId13"/>
        </w:object>
      </w:r>
    </w:p>
    <w:p w:rsidR="00D71AA9" w:rsidRPr="00E80C4E" w:rsidRDefault="00705175" w:rsidP="00E80C4E">
      <w:pPr>
        <w:rPr>
          <w:lang w:val="en-US"/>
        </w:rPr>
      </w:pPr>
      <w:r>
        <w:rPr>
          <w:lang w:val="en-US"/>
        </w:rPr>
        <w:t xml:space="preserve">We are current attempting to narrow down options that make the most sense to </w:t>
      </w:r>
      <w:r w:rsidR="00A82B2E">
        <w:rPr>
          <w:lang w:val="en-US"/>
        </w:rPr>
        <w:t>use</w:t>
      </w:r>
      <w:r>
        <w:rPr>
          <w:lang w:val="en-US"/>
        </w:rPr>
        <w:t xml:space="preserve"> in operator deployments to simplify standardization.</w:t>
      </w:r>
      <w:r w:rsidR="00895723">
        <w:rPr>
          <w:lang w:val="en-US"/>
        </w:rPr>
        <w:t xml:space="preserve"> </w:t>
      </w:r>
    </w:p>
    <w:p w:rsidR="00705175" w:rsidRDefault="00331777" w:rsidP="00705175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Discussion</w:t>
      </w:r>
    </w:p>
    <w:p w:rsidR="002760C7" w:rsidRDefault="00705175" w:rsidP="00705175">
      <w:pPr>
        <w:rPr>
          <w:lang w:val="en-US"/>
        </w:rPr>
      </w:pPr>
      <w:r>
        <w:rPr>
          <w:lang w:val="en-US"/>
        </w:rPr>
        <w:t xml:space="preserve">Since the NR study is coming to a conclusion, that has been significant offline discussion on how to proceed in standardization of the chosen subset of valued functional splits. </w:t>
      </w:r>
      <w:r w:rsidR="002760C7">
        <w:rPr>
          <w:lang w:val="en-US"/>
        </w:rPr>
        <w:t xml:space="preserve">It has been shown that the different splits provide benefit in various operator deployment scenarios and should be supported in </w:t>
      </w:r>
      <w:r w:rsidR="00A82B2E">
        <w:rPr>
          <w:lang w:val="en-US"/>
        </w:rPr>
        <w:t>implementations</w:t>
      </w:r>
      <w:r w:rsidR="002760C7">
        <w:rPr>
          <w:lang w:val="en-US"/>
        </w:rPr>
        <w:t>, however as we know we standardize interfaces through layer 3 to guarantee inter-vendor interoperability so we have to take into account whether there</w:t>
      </w:r>
      <w:r w:rsidR="001B6794">
        <w:rPr>
          <w:lang w:val="en-US"/>
        </w:rPr>
        <w:t xml:space="preserve"> all of the scenarios demand inter-vendor interoperability or whether they are </w:t>
      </w:r>
      <w:r w:rsidR="00A82B2E">
        <w:rPr>
          <w:lang w:val="en-US"/>
        </w:rPr>
        <w:t>realistically</w:t>
      </w:r>
      <w:r w:rsidR="001B6794">
        <w:rPr>
          <w:lang w:val="en-US"/>
        </w:rPr>
        <w:t xml:space="preserve"> single vendor scenarios. </w:t>
      </w:r>
    </w:p>
    <w:p w:rsidR="00705175" w:rsidRDefault="00705175" w:rsidP="00705175">
      <w:pPr>
        <w:rPr>
          <w:lang w:val="en-US"/>
        </w:rPr>
      </w:pPr>
      <w:r>
        <w:rPr>
          <w:lang w:val="en-US"/>
        </w:rPr>
        <w:t>There is probably</w:t>
      </w:r>
      <w:r w:rsidR="002C45A4">
        <w:rPr>
          <w:lang w:val="en-US"/>
        </w:rPr>
        <w:t xml:space="preserve"> some</w:t>
      </w:r>
      <w:r>
        <w:rPr>
          <w:lang w:val="en-US"/>
        </w:rPr>
        <w:t xml:space="preserve"> agreement that at the very least the RAN internal interface should be described in stage 2. </w:t>
      </w:r>
      <w:r w:rsidR="00A82B2E">
        <w:rPr>
          <w:lang w:val="en-US"/>
        </w:rPr>
        <w:t>However,</w:t>
      </w:r>
      <w:r>
        <w:rPr>
          <w:lang w:val="en-US"/>
        </w:rPr>
        <w:t xml:space="preserve"> there are differences of opinion on how much needs to be standardized in stage 2. </w:t>
      </w:r>
    </w:p>
    <w:p w:rsidR="00705175" w:rsidRDefault="00705175" w:rsidP="00705175">
      <w:pPr>
        <w:rPr>
          <w:lang w:val="en-US"/>
        </w:rPr>
      </w:pPr>
      <w:r>
        <w:rPr>
          <w:lang w:val="en-US"/>
        </w:rPr>
        <w:t xml:space="preserve">As per previous discussion and conclusion in [1], there are </w:t>
      </w:r>
      <w:r w:rsidR="002760C7">
        <w:rPr>
          <w:lang w:val="en-US"/>
        </w:rPr>
        <w:t xml:space="preserve">some different issues with higher layer and lower layer splits as far complexity of standardization. So </w:t>
      </w:r>
      <w:r w:rsidR="00A82B2E">
        <w:rPr>
          <w:lang w:val="en-US"/>
        </w:rPr>
        <w:t>let’s</w:t>
      </w:r>
      <w:r w:rsidR="002760C7">
        <w:rPr>
          <w:lang w:val="en-US"/>
        </w:rPr>
        <w:t xml:space="preserve"> look at each separately</w:t>
      </w:r>
      <w:r w:rsidR="001B6794">
        <w:rPr>
          <w:lang w:val="en-US"/>
        </w:rPr>
        <w:t>.</w:t>
      </w:r>
    </w:p>
    <w:p w:rsidR="001B6794" w:rsidRPr="006B1FD7" w:rsidRDefault="001B6794" w:rsidP="006B1FD7">
      <w:pPr>
        <w:pStyle w:val="Heading2"/>
        <w:rPr>
          <w:lang w:val="en-US"/>
        </w:rPr>
      </w:pPr>
      <w:r w:rsidRPr="006B1FD7">
        <w:rPr>
          <w:lang w:val="en-US"/>
        </w:rPr>
        <w:t>Higher layer splits (Options 1-4)</w:t>
      </w:r>
    </w:p>
    <w:p w:rsidR="006B1FD7" w:rsidRDefault="006B1FD7" w:rsidP="00705175">
      <w:pPr>
        <w:rPr>
          <w:lang w:val="en-US"/>
        </w:rPr>
      </w:pPr>
      <w:r>
        <w:rPr>
          <w:lang w:val="en-US"/>
        </w:rPr>
        <w:t xml:space="preserve">Option 2 is of course, strongly related to dual connectivity in LTE, so it very likely that a stage 3 standardization of a CU-DU split is feasible for option 2. The other option in this category that has gotten strong discussion option 3 being similar is probably also very feasible. The base line for the higher layer options is the X2 </w:t>
      </w:r>
      <w:r w:rsidR="00A82B2E">
        <w:rPr>
          <w:lang w:val="en-US"/>
        </w:rPr>
        <w:t>implementation</w:t>
      </w:r>
      <w:r>
        <w:rPr>
          <w:lang w:val="en-US"/>
        </w:rPr>
        <w:t xml:space="preserve"> of DC</w:t>
      </w:r>
      <w:r w:rsidR="0030336C">
        <w:rPr>
          <w:lang w:val="en-US"/>
        </w:rPr>
        <w:t xml:space="preserve"> in LTE</w:t>
      </w:r>
      <w:r>
        <w:rPr>
          <w:lang w:val="en-US"/>
        </w:rPr>
        <w:t>.</w:t>
      </w:r>
    </w:p>
    <w:p w:rsidR="006B1FD7" w:rsidRDefault="006B1FD7" w:rsidP="00705175">
      <w:pPr>
        <w:rPr>
          <w:lang w:val="en-US"/>
        </w:rPr>
      </w:pPr>
      <w:r w:rsidRPr="006B1FD7">
        <w:rPr>
          <w:b/>
          <w:lang w:val="en-US"/>
        </w:rPr>
        <w:t>Observation 1</w:t>
      </w:r>
      <w:r w:rsidRPr="002C45A4">
        <w:rPr>
          <w:b/>
          <w:lang w:val="en-US"/>
        </w:rPr>
        <w:t>:</w:t>
      </w:r>
      <w:r>
        <w:rPr>
          <w:lang w:val="en-US"/>
        </w:rPr>
        <w:t xml:space="preserve"> Starting with a baseline of X2 DC from LTE, a stage 3 standardization of a CU-DU interface is feasible for split option 2 and is probably just as feasible for option 3. </w:t>
      </w:r>
    </w:p>
    <w:p w:rsidR="006B1FD7" w:rsidRDefault="006B1FD7" w:rsidP="006B1FD7">
      <w:pPr>
        <w:pStyle w:val="Heading2"/>
        <w:rPr>
          <w:lang w:val="en-US"/>
        </w:rPr>
      </w:pPr>
      <w:r>
        <w:rPr>
          <w:lang w:val="en-US"/>
        </w:rPr>
        <w:lastRenderedPageBreak/>
        <w:t>Lower layer splits (Options 5-8)</w:t>
      </w:r>
    </w:p>
    <w:p w:rsidR="00FF7DDE" w:rsidRDefault="00A82B2E" w:rsidP="006B1FD7">
      <w:pPr>
        <w:rPr>
          <w:lang w:val="en-US"/>
        </w:rPr>
      </w:pPr>
      <w:r>
        <w:rPr>
          <w:lang w:val="en-US"/>
        </w:rPr>
        <w:t>As pointed out in [1] and in other discussions, splits below the scheduler have issues when trying to get them to work in multi-vendor environments, for example getting the centralized scheduler up to date status in a vendor independent way that allows for complete efficiency in radio resources</w:t>
      </w:r>
      <w:r w:rsidR="0030336C">
        <w:rPr>
          <w:lang w:val="en-US"/>
        </w:rPr>
        <w:t xml:space="preserve"> utilization</w:t>
      </w:r>
      <w:r>
        <w:rPr>
          <w:lang w:val="en-US"/>
        </w:rPr>
        <w:t xml:space="preserve">. </w:t>
      </w:r>
      <w:r w:rsidR="002C45A4">
        <w:rPr>
          <w:lang w:val="en-US"/>
        </w:rPr>
        <w:t>Therefore,</w:t>
      </w:r>
      <w:r w:rsidR="00816848">
        <w:rPr>
          <w:lang w:val="en-US"/>
        </w:rPr>
        <w:t xml:space="preserve"> even in a situation where we standardized as much as possible at stage 3, there will need to be messages or IEs within messages that would need to be vendor dependent. </w:t>
      </w:r>
      <w:r w:rsidR="00FF7DDE">
        <w:rPr>
          <w:lang w:val="en-US"/>
        </w:rPr>
        <w:t>Thus it is clear we need to have a discussion about what percentage of the agreed subset of lower layer splits will be standardized in stage 3, of course we won’t agree to a percentage number but rather that we which parts will be documented in stage 3.</w:t>
      </w:r>
    </w:p>
    <w:p w:rsidR="006B1FD7" w:rsidRDefault="00FF7DDE" w:rsidP="006B1FD7">
      <w:pPr>
        <w:rPr>
          <w:lang w:val="en-US"/>
        </w:rPr>
      </w:pPr>
      <w:r>
        <w:rPr>
          <w:lang w:val="en-US"/>
        </w:rPr>
        <w:t xml:space="preserve">As part of the discussion also is which </w:t>
      </w:r>
      <w:r w:rsidR="002C45A4">
        <w:rPr>
          <w:lang w:val="en-US"/>
        </w:rPr>
        <w:t xml:space="preserve">of the splits </w:t>
      </w:r>
      <w:r>
        <w:rPr>
          <w:lang w:val="en-US"/>
        </w:rPr>
        <w:t xml:space="preserve">are </w:t>
      </w:r>
      <w:r w:rsidR="002C45A4">
        <w:rPr>
          <w:lang w:val="en-US"/>
        </w:rPr>
        <w:t>realistically necessary to be splits between CU and DU of different</w:t>
      </w:r>
      <w:r>
        <w:rPr>
          <w:lang w:val="en-US"/>
        </w:rPr>
        <w:t xml:space="preserve"> </w:t>
      </w:r>
      <w:r w:rsidR="002C45A4">
        <w:rPr>
          <w:lang w:val="en-US"/>
        </w:rPr>
        <w:t>vendors. For example, it is clear that the flavors of split option 7 would have benefits in particular implementations, but is it just an implementation or does it need to be inter-vendor, and thus standardized?</w:t>
      </w:r>
    </w:p>
    <w:p w:rsidR="002C45A4" w:rsidRDefault="002C45A4" w:rsidP="006B1FD7">
      <w:pPr>
        <w:rPr>
          <w:lang w:val="en-US"/>
        </w:rPr>
      </w:pPr>
      <w:r>
        <w:rPr>
          <w:b/>
          <w:lang w:val="en-US"/>
        </w:rPr>
        <w:t xml:space="preserve">Observation 2: </w:t>
      </w:r>
      <w:r w:rsidR="005F504E">
        <w:rPr>
          <w:lang w:val="en-US"/>
        </w:rPr>
        <w:t>The focus so far on splits has been describing the benefits and drawbacks of the various splits to allow for a down selection, but as part of the down selection, consideration of practical inter-vendor operation of CUs and DUs should be part of the process to figure out which splits are standardized.</w:t>
      </w:r>
    </w:p>
    <w:p w:rsidR="005F504E" w:rsidRDefault="005F504E" w:rsidP="005F504E">
      <w:pPr>
        <w:pStyle w:val="Heading1"/>
        <w:rPr>
          <w:lang w:val="en-US"/>
        </w:rPr>
      </w:pPr>
      <w:r>
        <w:rPr>
          <w:lang w:val="en-US"/>
        </w:rPr>
        <w:t>Options for going forward</w:t>
      </w:r>
    </w:p>
    <w:p w:rsidR="005F504E" w:rsidRDefault="005F504E" w:rsidP="005F504E">
      <w:pPr>
        <w:rPr>
          <w:lang w:val="en-US"/>
        </w:rPr>
      </w:pPr>
      <w:r>
        <w:rPr>
          <w:lang w:val="en-US"/>
        </w:rPr>
        <w:t>Once the down-selection of splits is done, and for this example we choose</w:t>
      </w:r>
      <w:r w:rsidR="00A1387E">
        <w:rPr>
          <w:lang w:val="en-US"/>
        </w:rPr>
        <w:t xml:space="preserve"> one</w:t>
      </w:r>
      <w:r>
        <w:rPr>
          <w:lang w:val="en-US"/>
        </w:rPr>
        <w:t xml:space="preserve"> high layer split option and</w:t>
      </w:r>
      <w:r w:rsidR="00A1387E">
        <w:rPr>
          <w:lang w:val="en-US"/>
        </w:rPr>
        <w:t xml:space="preserve"> one</w:t>
      </w:r>
      <w:r>
        <w:rPr>
          <w:lang w:val="en-US"/>
        </w:rPr>
        <w:t xml:space="preserve"> lower layer split option as being the best set to implement (of course we can choose multipl</w:t>
      </w:r>
      <w:r w:rsidR="00A336CE">
        <w:rPr>
          <w:lang w:val="en-US"/>
        </w:rPr>
        <w:t>e splits of one or both types but to keep the discussion easier let’s assume 1 of each).</w:t>
      </w:r>
    </w:p>
    <w:tbl>
      <w:tblPr>
        <w:tblStyle w:val="TableGrid"/>
        <w:tblW w:w="10111" w:type="dxa"/>
        <w:tblLook w:val="04A0" w:firstRow="1" w:lastRow="0" w:firstColumn="1" w:lastColumn="0" w:noHBand="0" w:noVBand="1"/>
      </w:tblPr>
      <w:tblGrid>
        <w:gridCol w:w="895"/>
        <w:gridCol w:w="4608"/>
        <w:gridCol w:w="4608"/>
      </w:tblGrid>
      <w:tr w:rsidR="00A1387E" w:rsidTr="00A1387E">
        <w:tc>
          <w:tcPr>
            <w:tcW w:w="895" w:type="dxa"/>
            <w:shd w:val="clear" w:color="auto" w:fill="2E74B5" w:themeFill="accent1" w:themeFillShade="BF"/>
          </w:tcPr>
          <w:p w:rsidR="00A1387E" w:rsidRPr="00A1387E" w:rsidRDefault="00A1387E" w:rsidP="005F504E">
            <w:pPr>
              <w:rPr>
                <w:color w:val="FFFFFF" w:themeColor="background1"/>
                <w:lang w:val="en-US"/>
              </w:rPr>
            </w:pPr>
            <w:r w:rsidRPr="00A1387E">
              <w:rPr>
                <w:color w:val="FFFFFF" w:themeColor="background1"/>
                <w:lang w:val="en-US"/>
              </w:rPr>
              <w:t>Option</w:t>
            </w:r>
          </w:p>
        </w:tc>
        <w:tc>
          <w:tcPr>
            <w:tcW w:w="4608" w:type="dxa"/>
            <w:shd w:val="clear" w:color="auto" w:fill="2E74B5" w:themeFill="accent1" w:themeFillShade="BF"/>
          </w:tcPr>
          <w:p w:rsidR="00A1387E" w:rsidRPr="00A1387E" w:rsidRDefault="00A1387E" w:rsidP="005F504E">
            <w:pPr>
              <w:rPr>
                <w:color w:val="FFFFFF" w:themeColor="background1"/>
                <w:lang w:val="en-US"/>
              </w:rPr>
            </w:pPr>
            <w:r w:rsidRPr="00A1387E">
              <w:rPr>
                <w:color w:val="FFFFFF" w:themeColor="background1"/>
                <w:lang w:val="en-US"/>
              </w:rPr>
              <w:t>Higher layer split</w:t>
            </w:r>
          </w:p>
        </w:tc>
        <w:tc>
          <w:tcPr>
            <w:tcW w:w="4608" w:type="dxa"/>
            <w:shd w:val="clear" w:color="auto" w:fill="2E74B5" w:themeFill="accent1" w:themeFillShade="BF"/>
          </w:tcPr>
          <w:p w:rsidR="00A1387E" w:rsidRPr="00A1387E" w:rsidRDefault="00A1387E" w:rsidP="005F504E">
            <w:pPr>
              <w:rPr>
                <w:color w:val="FFFFFF" w:themeColor="background1"/>
                <w:lang w:val="en-US"/>
              </w:rPr>
            </w:pPr>
            <w:r w:rsidRPr="00A1387E">
              <w:rPr>
                <w:color w:val="FFFFFF" w:themeColor="background1"/>
                <w:lang w:val="en-US"/>
              </w:rPr>
              <w:t>Lower Layer Split</w:t>
            </w:r>
          </w:p>
        </w:tc>
      </w:tr>
      <w:tr w:rsidR="00A1387E" w:rsidTr="00A1387E">
        <w:tc>
          <w:tcPr>
            <w:tcW w:w="895" w:type="dxa"/>
          </w:tcPr>
          <w:p w:rsidR="00A1387E" w:rsidRPr="00A1387E" w:rsidRDefault="00A1387E" w:rsidP="00A1387E">
            <w:pPr>
              <w:jc w:val="center"/>
              <w:rPr>
                <w:b/>
                <w:lang w:val="en-US"/>
              </w:rPr>
            </w:pPr>
            <w:r w:rsidRPr="00A1387E">
              <w:rPr>
                <w:b/>
                <w:lang w:val="en-US"/>
              </w:rPr>
              <w:t>A</w:t>
            </w:r>
          </w:p>
        </w:tc>
        <w:tc>
          <w:tcPr>
            <w:tcW w:w="4608" w:type="dxa"/>
          </w:tcPr>
          <w:p w:rsidR="00A1387E" w:rsidRDefault="00A1387E" w:rsidP="005F504E">
            <w:pPr>
              <w:rPr>
                <w:lang w:val="en-US"/>
              </w:rPr>
            </w:pPr>
            <w:r>
              <w:rPr>
                <w:lang w:val="en-US"/>
              </w:rPr>
              <w:t>No specification</w:t>
            </w:r>
          </w:p>
        </w:tc>
        <w:tc>
          <w:tcPr>
            <w:tcW w:w="4608" w:type="dxa"/>
          </w:tcPr>
          <w:p w:rsidR="00A1387E" w:rsidRDefault="00A1387E" w:rsidP="005F504E">
            <w:pPr>
              <w:rPr>
                <w:lang w:val="en-US"/>
              </w:rPr>
            </w:pPr>
            <w:r>
              <w:rPr>
                <w:lang w:val="en-US"/>
              </w:rPr>
              <w:t>No Specification</w:t>
            </w:r>
          </w:p>
        </w:tc>
      </w:tr>
      <w:tr w:rsidR="00A1387E" w:rsidTr="00A1387E">
        <w:tc>
          <w:tcPr>
            <w:tcW w:w="895" w:type="dxa"/>
          </w:tcPr>
          <w:p w:rsidR="00A1387E" w:rsidRPr="00A1387E" w:rsidRDefault="00A1387E" w:rsidP="00A1387E">
            <w:pPr>
              <w:jc w:val="center"/>
              <w:rPr>
                <w:b/>
                <w:lang w:val="en-US"/>
              </w:rPr>
            </w:pPr>
            <w:r w:rsidRPr="00A1387E">
              <w:rPr>
                <w:b/>
                <w:lang w:val="en-US"/>
              </w:rPr>
              <w:t>B</w:t>
            </w:r>
          </w:p>
        </w:tc>
        <w:tc>
          <w:tcPr>
            <w:tcW w:w="4608" w:type="dxa"/>
          </w:tcPr>
          <w:p w:rsidR="00A1387E" w:rsidRDefault="00A1387E" w:rsidP="005F504E">
            <w:pPr>
              <w:rPr>
                <w:lang w:val="en-US"/>
              </w:rPr>
            </w:pPr>
            <w:r>
              <w:rPr>
                <w:lang w:val="en-US"/>
              </w:rPr>
              <w:t>Stage 2 Only</w:t>
            </w:r>
          </w:p>
        </w:tc>
        <w:tc>
          <w:tcPr>
            <w:tcW w:w="4608" w:type="dxa"/>
          </w:tcPr>
          <w:p w:rsidR="00A1387E" w:rsidRDefault="00A1387E" w:rsidP="005F504E">
            <w:pPr>
              <w:rPr>
                <w:lang w:val="en-US"/>
              </w:rPr>
            </w:pPr>
            <w:r>
              <w:rPr>
                <w:lang w:val="en-US"/>
              </w:rPr>
              <w:t>No Specification</w:t>
            </w:r>
          </w:p>
        </w:tc>
      </w:tr>
      <w:tr w:rsidR="00A1387E" w:rsidTr="00A1387E">
        <w:tc>
          <w:tcPr>
            <w:tcW w:w="895" w:type="dxa"/>
          </w:tcPr>
          <w:p w:rsidR="00A1387E" w:rsidRPr="00A1387E" w:rsidRDefault="00A1387E" w:rsidP="00A1387E">
            <w:pPr>
              <w:jc w:val="center"/>
              <w:rPr>
                <w:b/>
                <w:lang w:val="en-US"/>
              </w:rPr>
            </w:pPr>
            <w:r w:rsidRPr="00A1387E">
              <w:rPr>
                <w:b/>
                <w:lang w:val="en-US"/>
              </w:rPr>
              <w:t>C</w:t>
            </w:r>
          </w:p>
        </w:tc>
        <w:tc>
          <w:tcPr>
            <w:tcW w:w="4608" w:type="dxa"/>
          </w:tcPr>
          <w:p w:rsidR="00A1387E" w:rsidRDefault="00A1387E" w:rsidP="005F504E">
            <w:pPr>
              <w:rPr>
                <w:lang w:val="en-US"/>
              </w:rPr>
            </w:pPr>
            <w:r>
              <w:rPr>
                <w:lang w:val="en-US"/>
              </w:rPr>
              <w:t>Stage 2 Only</w:t>
            </w:r>
          </w:p>
        </w:tc>
        <w:tc>
          <w:tcPr>
            <w:tcW w:w="4608" w:type="dxa"/>
          </w:tcPr>
          <w:p w:rsidR="00A1387E" w:rsidRDefault="00A1387E" w:rsidP="005F504E">
            <w:pPr>
              <w:rPr>
                <w:lang w:val="en-US"/>
              </w:rPr>
            </w:pPr>
            <w:r>
              <w:rPr>
                <w:lang w:val="en-US"/>
              </w:rPr>
              <w:t>Stage 2 Only</w:t>
            </w:r>
          </w:p>
        </w:tc>
      </w:tr>
      <w:tr w:rsidR="00A1387E" w:rsidTr="00A1387E">
        <w:tc>
          <w:tcPr>
            <w:tcW w:w="895" w:type="dxa"/>
          </w:tcPr>
          <w:p w:rsidR="00A1387E" w:rsidRPr="00A1387E" w:rsidRDefault="00A1387E" w:rsidP="00A1387E">
            <w:pPr>
              <w:jc w:val="center"/>
              <w:rPr>
                <w:b/>
                <w:lang w:val="en-US"/>
              </w:rPr>
            </w:pPr>
            <w:r w:rsidRPr="00A1387E">
              <w:rPr>
                <w:b/>
                <w:lang w:val="en-US"/>
              </w:rPr>
              <w:t>D</w:t>
            </w:r>
          </w:p>
        </w:tc>
        <w:tc>
          <w:tcPr>
            <w:tcW w:w="4608" w:type="dxa"/>
          </w:tcPr>
          <w:p w:rsidR="00A1387E" w:rsidRDefault="00A1387E" w:rsidP="005F504E">
            <w:pPr>
              <w:rPr>
                <w:lang w:val="en-US"/>
              </w:rPr>
            </w:pPr>
            <w:r>
              <w:rPr>
                <w:lang w:val="en-US"/>
              </w:rPr>
              <w:t>Full Stage 2 and</w:t>
            </w:r>
            <w:r w:rsidR="00303FCE">
              <w:rPr>
                <w:lang w:val="en-US"/>
              </w:rPr>
              <w:t xml:space="preserve"> Stage</w:t>
            </w:r>
            <w:r>
              <w:rPr>
                <w:lang w:val="en-US"/>
              </w:rPr>
              <w:t xml:space="preserve"> 3 </w:t>
            </w:r>
          </w:p>
        </w:tc>
        <w:tc>
          <w:tcPr>
            <w:tcW w:w="4608" w:type="dxa"/>
          </w:tcPr>
          <w:p w:rsidR="00A1387E" w:rsidRDefault="00303FCE" w:rsidP="005F504E">
            <w:pPr>
              <w:rPr>
                <w:lang w:val="en-US"/>
              </w:rPr>
            </w:pPr>
            <w:r>
              <w:rPr>
                <w:lang w:val="en-US"/>
              </w:rPr>
              <w:t>No Specification</w:t>
            </w:r>
          </w:p>
        </w:tc>
      </w:tr>
      <w:tr w:rsidR="00303FCE" w:rsidTr="00A1387E">
        <w:tc>
          <w:tcPr>
            <w:tcW w:w="895" w:type="dxa"/>
          </w:tcPr>
          <w:p w:rsidR="00303FCE" w:rsidRPr="00A1387E" w:rsidRDefault="00303FCE" w:rsidP="00303FCE">
            <w:pPr>
              <w:jc w:val="center"/>
              <w:rPr>
                <w:b/>
                <w:lang w:val="en-US"/>
              </w:rPr>
            </w:pPr>
            <w:r w:rsidRPr="00A1387E">
              <w:rPr>
                <w:b/>
                <w:lang w:val="en-US"/>
              </w:rPr>
              <w:t>E</w:t>
            </w:r>
          </w:p>
        </w:tc>
        <w:tc>
          <w:tcPr>
            <w:tcW w:w="4608" w:type="dxa"/>
          </w:tcPr>
          <w:p w:rsidR="00303FCE" w:rsidRDefault="00303FCE" w:rsidP="00303FCE">
            <w:r w:rsidRPr="00331BAC">
              <w:rPr>
                <w:lang w:val="en-US"/>
              </w:rPr>
              <w:t xml:space="preserve">Full Stage 2 and Stage 3 </w:t>
            </w:r>
          </w:p>
        </w:tc>
        <w:tc>
          <w:tcPr>
            <w:tcW w:w="4608" w:type="dxa"/>
          </w:tcPr>
          <w:p w:rsidR="00303FCE" w:rsidRDefault="00303FCE" w:rsidP="00303FCE">
            <w:pPr>
              <w:rPr>
                <w:lang w:val="en-US"/>
              </w:rPr>
            </w:pPr>
            <w:r>
              <w:rPr>
                <w:lang w:val="en-US"/>
              </w:rPr>
              <w:t>Stage 2 Only</w:t>
            </w:r>
          </w:p>
        </w:tc>
      </w:tr>
      <w:tr w:rsidR="00303FCE" w:rsidTr="00A1387E">
        <w:tc>
          <w:tcPr>
            <w:tcW w:w="895" w:type="dxa"/>
          </w:tcPr>
          <w:p w:rsidR="00303FCE" w:rsidRPr="00A1387E" w:rsidRDefault="00303FCE" w:rsidP="00303FCE">
            <w:pPr>
              <w:jc w:val="center"/>
              <w:rPr>
                <w:b/>
                <w:lang w:val="en-US"/>
              </w:rPr>
            </w:pPr>
            <w:r w:rsidRPr="00A1387E">
              <w:rPr>
                <w:b/>
                <w:lang w:val="en-US"/>
              </w:rPr>
              <w:t>F</w:t>
            </w:r>
          </w:p>
        </w:tc>
        <w:tc>
          <w:tcPr>
            <w:tcW w:w="4608" w:type="dxa"/>
          </w:tcPr>
          <w:p w:rsidR="00303FCE" w:rsidRDefault="00303FCE" w:rsidP="00303FCE">
            <w:r w:rsidRPr="00331BAC">
              <w:rPr>
                <w:lang w:val="en-US"/>
              </w:rPr>
              <w:t xml:space="preserve">Full Stage 2 and Stage 3 </w:t>
            </w:r>
          </w:p>
        </w:tc>
        <w:tc>
          <w:tcPr>
            <w:tcW w:w="4608" w:type="dxa"/>
          </w:tcPr>
          <w:p w:rsidR="00303FCE" w:rsidRDefault="00303FCE" w:rsidP="00303FCE">
            <w:pPr>
              <w:rPr>
                <w:lang w:val="en-US"/>
              </w:rPr>
            </w:pPr>
            <w:r>
              <w:rPr>
                <w:lang w:val="en-US"/>
              </w:rPr>
              <w:t>Stage 2 plus hooks in procedures used in both splits (example Context Management procedure)</w:t>
            </w:r>
          </w:p>
        </w:tc>
      </w:tr>
      <w:tr w:rsidR="00303FCE" w:rsidTr="00A1387E">
        <w:tc>
          <w:tcPr>
            <w:tcW w:w="895" w:type="dxa"/>
          </w:tcPr>
          <w:p w:rsidR="00303FCE" w:rsidRPr="00A1387E" w:rsidRDefault="00303FCE" w:rsidP="00303FCE">
            <w:pPr>
              <w:jc w:val="center"/>
              <w:rPr>
                <w:b/>
                <w:lang w:val="en-US"/>
              </w:rPr>
            </w:pPr>
            <w:r w:rsidRPr="00A1387E">
              <w:rPr>
                <w:b/>
                <w:lang w:val="en-US"/>
              </w:rPr>
              <w:t>G</w:t>
            </w:r>
          </w:p>
        </w:tc>
        <w:tc>
          <w:tcPr>
            <w:tcW w:w="4608" w:type="dxa"/>
          </w:tcPr>
          <w:p w:rsidR="00303FCE" w:rsidRDefault="00303FCE" w:rsidP="00303FCE">
            <w:r w:rsidRPr="00331BAC">
              <w:rPr>
                <w:lang w:val="en-US"/>
              </w:rPr>
              <w:t xml:space="preserve">Full Stage 2 and Stage 3 </w:t>
            </w:r>
          </w:p>
        </w:tc>
        <w:tc>
          <w:tcPr>
            <w:tcW w:w="4608" w:type="dxa"/>
          </w:tcPr>
          <w:p w:rsidR="00303FCE" w:rsidRDefault="00303FCE" w:rsidP="00303FCE">
            <w:pPr>
              <w:rPr>
                <w:lang w:val="en-US"/>
              </w:rPr>
            </w:pPr>
            <w:r>
              <w:rPr>
                <w:lang w:val="en-US"/>
              </w:rPr>
              <w:t xml:space="preserve">Stage 2 plus as much Stage 3 as is possible with hooks </w:t>
            </w:r>
            <w:r w:rsidRPr="00F07429">
              <w:t>for where we know vendor specific information is or may be needed, and allowing for completely vendor specific information in IEs, or separate IEs or separate procedures</w:t>
            </w:r>
          </w:p>
        </w:tc>
      </w:tr>
    </w:tbl>
    <w:p w:rsidR="00A1387E" w:rsidRDefault="00A1387E" w:rsidP="005F504E">
      <w:pPr>
        <w:rPr>
          <w:lang w:val="en-US"/>
        </w:rPr>
      </w:pPr>
    </w:p>
    <w:p w:rsidR="005F504E" w:rsidRPr="005F504E" w:rsidRDefault="00741643" w:rsidP="005F504E">
      <w:pPr>
        <w:rPr>
          <w:lang w:val="en-US"/>
        </w:rPr>
      </w:pPr>
      <w:r>
        <w:t>Since we are doing NR in phases, it is possible to progress in stages, for example agree to option B in phase 1, option C in phase 2 and then option E in phase 3+.</w:t>
      </w:r>
    </w:p>
    <w:p w:rsidR="00251B4A" w:rsidRDefault="00251B4A" w:rsidP="00251B4A">
      <w:pPr>
        <w:pStyle w:val="Heading1"/>
        <w:spacing w:after="120"/>
        <w:rPr>
          <w:sz w:val="32"/>
          <w:lang w:val="en-US"/>
        </w:rPr>
      </w:pPr>
      <w:r>
        <w:rPr>
          <w:sz w:val="32"/>
          <w:lang w:val="en-US"/>
        </w:rPr>
        <w:t>Conclusion</w:t>
      </w:r>
    </w:p>
    <w:p w:rsidR="00282828" w:rsidRDefault="00282828" w:rsidP="00282828">
      <w:pPr>
        <w:rPr>
          <w:b/>
          <w:lang w:val="en-US"/>
        </w:rPr>
      </w:pPr>
      <w:r>
        <w:rPr>
          <w:lang w:val="en-US"/>
        </w:rPr>
        <w:t xml:space="preserve">This paper </w:t>
      </w:r>
      <w:r w:rsidR="00741643">
        <w:rPr>
          <w:lang w:val="en-US"/>
        </w:rPr>
        <w:t>with it is options and observations wants to set the stage for a discussion on a way forward</w:t>
      </w:r>
      <w:r w:rsidR="00D67A07">
        <w:rPr>
          <w:lang w:val="en-US"/>
        </w:rPr>
        <w:t xml:space="preserve">. </w:t>
      </w:r>
    </w:p>
    <w:p w:rsidR="00A942AE" w:rsidRDefault="00870772" w:rsidP="0023228F">
      <w:pPr>
        <w:ind w:left="1134" w:hanging="1134"/>
        <w:rPr>
          <w:szCs w:val="22"/>
          <w:lang w:val="en-US"/>
        </w:rPr>
      </w:pPr>
      <w:r w:rsidRPr="002E1D7A">
        <w:rPr>
          <w:b/>
          <w:szCs w:val="22"/>
          <w:lang w:val="en-US"/>
        </w:rPr>
        <w:t>Proposal:</w:t>
      </w:r>
      <w:r w:rsidR="00A942AE">
        <w:rPr>
          <w:szCs w:val="22"/>
          <w:lang w:val="en-US"/>
        </w:rPr>
        <w:t xml:space="preserve"> </w:t>
      </w:r>
    </w:p>
    <w:p w:rsidR="00251B4A" w:rsidRPr="00A942AE" w:rsidRDefault="00A942AE" w:rsidP="00A942AE">
      <w:pPr>
        <w:pStyle w:val="ListParagraph"/>
        <w:numPr>
          <w:ilvl w:val="0"/>
          <w:numId w:val="27"/>
        </w:numPr>
        <w:rPr>
          <w:b/>
        </w:rPr>
      </w:pPr>
      <w:r w:rsidRPr="00A942AE">
        <w:rPr>
          <w:b/>
        </w:rPr>
        <w:t>Continue the down selection making sure it includes a discussion on inter-vendor CU-DU realities</w:t>
      </w:r>
    </w:p>
    <w:p w:rsidR="00A942AE" w:rsidRPr="00A942AE" w:rsidRDefault="00A942AE" w:rsidP="00A942AE">
      <w:pPr>
        <w:pStyle w:val="ListParagraph"/>
        <w:numPr>
          <w:ilvl w:val="0"/>
          <w:numId w:val="27"/>
        </w:numPr>
        <w:rPr>
          <w:b/>
        </w:rPr>
      </w:pPr>
      <w:r w:rsidRPr="00A942AE">
        <w:rPr>
          <w:b/>
        </w:rPr>
        <w:t>Based on the options in section 3 and the fact that there is general consensus on choosing at least one higher layer and one lower layer split, attempt to preliminarily choose which option(s) in section 3 are the best way forward, or at least which ones should be eliminated.</w:t>
      </w:r>
    </w:p>
    <w:p w:rsidR="00A1387E" w:rsidRPr="001D0064" w:rsidRDefault="00A1387E" w:rsidP="00303FCE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lastRenderedPageBreak/>
        <w:t>References</w:t>
      </w:r>
    </w:p>
    <w:p w:rsidR="00303FCE" w:rsidRPr="00303FCE" w:rsidRDefault="00303FCE" w:rsidP="00303FCE">
      <w:pPr>
        <w:pStyle w:val="Reference"/>
        <w:rPr>
          <w:lang w:val="en-US"/>
        </w:rPr>
      </w:pPr>
      <w:bookmarkStart w:id="1" w:name="_Ref370891592"/>
      <w:bookmarkStart w:id="2" w:name="_Ref399440155"/>
      <w:bookmarkStart w:id="3" w:name="_Ref401222022"/>
      <w:bookmarkStart w:id="4" w:name="_Ref403048963"/>
      <w:bookmarkStart w:id="5" w:name="_Ref416167577"/>
      <w:r w:rsidRPr="00303FCE">
        <w:rPr>
          <w:sz w:val="20"/>
          <w:lang w:val="en-US"/>
        </w:rPr>
        <w:t>R3-162687 Centralized RRM and Scheduling</w:t>
      </w:r>
      <w:r>
        <w:rPr>
          <w:sz w:val="20"/>
          <w:lang w:val="en-US"/>
        </w:rPr>
        <w:t>, InterDigital Communications</w:t>
      </w:r>
    </w:p>
    <w:bookmarkEnd w:id="1"/>
    <w:bookmarkEnd w:id="2"/>
    <w:bookmarkEnd w:id="3"/>
    <w:bookmarkEnd w:id="4"/>
    <w:bookmarkEnd w:id="5"/>
    <w:p w:rsidR="00A1387E" w:rsidRPr="00A1387E" w:rsidRDefault="00A1387E" w:rsidP="00A1387E">
      <w:pPr>
        <w:rPr>
          <w:lang w:val="en-US"/>
        </w:rPr>
      </w:pPr>
    </w:p>
    <w:sectPr w:rsidR="00A1387E" w:rsidRPr="00A1387E" w:rsidSect="00D5508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045" w:rsidRDefault="000D3045">
      <w:r>
        <w:separator/>
      </w:r>
    </w:p>
  </w:endnote>
  <w:endnote w:type="continuationSeparator" w:id="0">
    <w:p w:rsidR="000D3045" w:rsidRDefault="000D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686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C686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7C6867">
      <w:rPr>
        <w:rStyle w:val="PageNumber"/>
      </w:rPr>
      <w:t>2017-01-11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045" w:rsidRDefault="000D3045">
      <w:r>
        <w:separator/>
      </w:r>
    </w:p>
  </w:footnote>
  <w:footnote w:type="continuationSeparator" w:id="0">
    <w:p w:rsidR="000D3045" w:rsidRDefault="000D3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10"/>
  </w:num>
  <w:num w:numId="6">
    <w:abstractNumId w:val="16"/>
  </w:num>
  <w:num w:numId="7">
    <w:abstractNumId w:val="19"/>
  </w:num>
  <w:num w:numId="8">
    <w:abstractNumId w:val="11"/>
  </w:num>
  <w:num w:numId="9">
    <w:abstractNumId w:val="25"/>
  </w:num>
  <w:num w:numId="10">
    <w:abstractNumId w:val="5"/>
  </w:num>
  <w:num w:numId="11">
    <w:abstractNumId w:val="26"/>
  </w:num>
  <w:num w:numId="12">
    <w:abstractNumId w:val="15"/>
  </w:num>
  <w:num w:numId="13">
    <w:abstractNumId w:val="1"/>
  </w:num>
  <w:num w:numId="14">
    <w:abstractNumId w:val="22"/>
  </w:num>
  <w:num w:numId="15">
    <w:abstractNumId w:val="2"/>
  </w:num>
  <w:num w:numId="16">
    <w:abstractNumId w:val="14"/>
  </w:num>
  <w:num w:numId="17">
    <w:abstractNumId w:val="7"/>
  </w:num>
  <w:num w:numId="18">
    <w:abstractNumId w:val="4"/>
  </w:num>
  <w:num w:numId="19">
    <w:abstractNumId w:val="20"/>
  </w:num>
  <w:num w:numId="20">
    <w:abstractNumId w:val="6"/>
  </w:num>
  <w:num w:numId="21">
    <w:abstractNumId w:val="9"/>
  </w:num>
  <w:num w:numId="22">
    <w:abstractNumId w:val="23"/>
  </w:num>
  <w:num w:numId="23">
    <w:abstractNumId w:val="21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</w:num>
  <w:num w:numId="26">
    <w:abstractNumId w:val="24"/>
  </w:num>
  <w:num w:numId="2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DEF"/>
    <w:rsid w:val="000325B8"/>
    <w:rsid w:val="00033351"/>
    <w:rsid w:val="0003410A"/>
    <w:rsid w:val="00034C15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3045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7A45"/>
    <w:rsid w:val="00307BA1"/>
    <w:rsid w:val="00310123"/>
    <w:rsid w:val="003113AC"/>
    <w:rsid w:val="00311702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3698"/>
    <w:rsid w:val="0046493F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5C92"/>
    <w:rsid w:val="00797AFF"/>
    <w:rsid w:val="007A0E6E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867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9EC"/>
    <w:rsid w:val="00812B68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212E2"/>
    <w:rsid w:val="00D21443"/>
    <w:rsid w:val="00D235FD"/>
    <w:rsid w:val="00D239A7"/>
    <w:rsid w:val="00D23F47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DB1"/>
    <w:rsid w:val="00DF7F58"/>
    <w:rsid w:val="00E013F8"/>
    <w:rsid w:val="00E0203C"/>
    <w:rsid w:val="00E022FC"/>
    <w:rsid w:val="00E04BB2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5787"/>
    <w:rsid w:val="00EF5DF4"/>
    <w:rsid w:val="00EF60D0"/>
    <w:rsid w:val="00F00459"/>
    <w:rsid w:val="00F00A11"/>
    <w:rsid w:val="00F01A5F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682305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EF8DFB33-258A-4E77-A2F3-D78E47985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1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2</cp:revision>
  <cp:lastPrinted>2015-11-06T15:56:00Z</cp:lastPrinted>
  <dcterms:created xsi:type="dcterms:W3CDTF">2017-01-11T15:49:00Z</dcterms:created>
  <dcterms:modified xsi:type="dcterms:W3CDTF">2017-01-11T15:49:00Z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